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6667" w14:textId="77777777" w:rsidR="00656FF7" w:rsidRPr="00111866" w:rsidRDefault="00892A00" w:rsidP="00753FA0">
      <w:pPr>
        <w:pStyle w:val="Title"/>
        <w:ind w:left="0"/>
        <w:jc w:val="both"/>
      </w:pPr>
      <w:bookmarkStart w:id="0" w:name="_Hlk194491179"/>
      <w:bookmarkEnd w:id="0"/>
      <w:r w:rsidRPr="00111866">
        <w:rPr>
          <w:color w:val="231F20"/>
        </w:rPr>
        <w:t>Terms and</w:t>
      </w:r>
      <w:r w:rsidRPr="00111866">
        <w:rPr>
          <w:color w:val="231F20"/>
          <w:spacing w:val="-4"/>
        </w:rPr>
        <w:t xml:space="preserve"> </w:t>
      </w:r>
      <w:r w:rsidRPr="00111866">
        <w:rPr>
          <w:color w:val="231F20"/>
        </w:rPr>
        <w:t>Conditions</w:t>
      </w:r>
      <w:r w:rsidRPr="00111866">
        <w:rPr>
          <w:color w:val="231F20"/>
          <w:spacing w:val="3"/>
        </w:rPr>
        <w:t xml:space="preserve"> </w:t>
      </w:r>
      <w:r w:rsidRPr="00111866">
        <w:rPr>
          <w:color w:val="231F20"/>
        </w:rPr>
        <w:t>of</w:t>
      </w:r>
      <w:r w:rsidRPr="00111866">
        <w:rPr>
          <w:color w:val="231F20"/>
          <w:spacing w:val="1"/>
        </w:rPr>
        <w:t xml:space="preserve"> </w:t>
      </w:r>
      <w:r w:rsidRPr="00111866">
        <w:rPr>
          <w:color w:val="231F20"/>
          <w:spacing w:val="-2"/>
        </w:rPr>
        <w:t>Sales</w:t>
      </w:r>
    </w:p>
    <w:p w14:paraId="6CB96668" w14:textId="0EE0A2A0" w:rsidR="00656FF7" w:rsidRPr="00111866" w:rsidRDefault="00892A00" w:rsidP="00753FA0">
      <w:pPr>
        <w:pStyle w:val="BodyText"/>
        <w:spacing w:before="5"/>
        <w:jc w:val="both"/>
        <w:rPr>
          <w:color w:val="231F20"/>
          <w:spacing w:val="-4"/>
        </w:rPr>
      </w:pPr>
      <w:r w:rsidRPr="00111866">
        <w:rPr>
          <w:color w:val="231F20"/>
        </w:rPr>
        <w:t>Document</w:t>
      </w:r>
      <w:r w:rsidRPr="00111866">
        <w:rPr>
          <w:color w:val="231F20"/>
          <w:spacing w:val="-7"/>
        </w:rPr>
        <w:t xml:space="preserve"> </w:t>
      </w:r>
      <w:r w:rsidRPr="00111866">
        <w:rPr>
          <w:color w:val="231F20"/>
        </w:rPr>
        <w:t>edited</w:t>
      </w:r>
      <w:r w:rsidRPr="00111866">
        <w:rPr>
          <w:color w:val="231F20"/>
          <w:spacing w:val="-5"/>
        </w:rPr>
        <w:t xml:space="preserve"> </w:t>
      </w:r>
      <w:r w:rsidRPr="00111866">
        <w:rPr>
          <w:color w:val="231F20"/>
        </w:rPr>
        <w:t>on</w:t>
      </w:r>
      <w:r w:rsidRPr="00111866">
        <w:rPr>
          <w:color w:val="231F20"/>
          <w:spacing w:val="-7"/>
        </w:rPr>
        <w:t xml:space="preserve"> </w:t>
      </w:r>
      <w:r w:rsidR="00726147">
        <w:rPr>
          <w:color w:val="231F20"/>
        </w:rPr>
        <w:t>2</w:t>
      </w:r>
      <w:r w:rsidR="001E601C">
        <w:rPr>
          <w:color w:val="231F20"/>
        </w:rPr>
        <w:t>7</w:t>
      </w:r>
      <w:r w:rsidR="00726147">
        <w:rPr>
          <w:color w:val="231F20"/>
        </w:rPr>
        <w:t xml:space="preserve"> M</w:t>
      </w:r>
      <w:r w:rsidR="001E601C">
        <w:rPr>
          <w:color w:val="231F20"/>
        </w:rPr>
        <w:t>arch</w:t>
      </w:r>
      <w:r w:rsidRPr="00111866">
        <w:rPr>
          <w:color w:val="231F20"/>
          <w:spacing w:val="-8"/>
        </w:rPr>
        <w:t xml:space="preserve"> </w:t>
      </w:r>
      <w:r w:rsidRPr="00111866">
        <w:rPr>
          <w:color w:val="231F20"/>
          <w:spacing w:val="-4"/>
        </w:rPr>
        <w:t>202</w:t>
      </w:r>
      <w:r w:rsidR="001E601C">
        <w:rPr>
          <w:color w:val="231F20"/>
          <w:spacing w:val="-4"/>
        </w:rPr>
        <w:t>6</w:t>
      </w:r>
    </w:p>
    <w:p w14:paraId="39B399D6" w14:textId="77777777" w:rsidR="00DD0D63" w:rsidRDefault="00DD0D63" w:rsidP="006E17DF">
      <w:pPr>
        <w:pStyle w:val="BodyText"/>
        <w:spacing w:before="5"/>
        <w:ind w:left="215"/>
        <w:jc w:val="both"/>
      </w:pPr>
    </w:p>
    <w:p w14:paraId="06999A6D"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1. Quotation.</w:t>
      </w:r>
      <w:r w:rsidRPr="00753FA0">
        <w:rPr>
          <w:rFonts w:ascii="Arial" w:hAnsi="Arial" w:cs="Arial"/>
          <w:color w:val="000000"/>
          <w:spacing w:val="8"/>
          <w:sz w:val="22"/>
          <w:szCs w:val="22"/>
        </w:rPr>
        <w:br/>
        <w:t xml:space="preserve">The quotation is made and given on the express understanding that unless written agreement is given by Amafilter® and PCI Membranes® Sp. z </w:t>
      </w:r>
      <w:proofErr w:type="spellStart"/>
      <w:r w:rsidRPr="00753FA0">
        <w:rPr>
          <w:rFonts w:ascii="Arial" w:hAnsi="Arial" w:cs="Arial"/>
          <w:color w:val="000000"/>
          <w:spacing w:val="8"/>
          <w:sz w:val="22"/>
          <w:szCs w:val="22"/>
        </w:rPr>
        <w:t>o.o.</w:t>
      </w:r>
      <w:proofErr w:type="spellEnd"/>
      <w:r w:rsidRPr="00753FA0">
        <w:rPr>
          <w:rFonts w:ascii="Arial" w:hAnsi="Arial" w:cs="Arial"/>
          <w:color w:val="000000"/>
          <w:spacing w:val="8"/>
          <w:sz w:val="22"/>
          <w:szCs w:val="22"/>
        </w:rPr>
        <w:t xml:space="preserve"> or any other relevant party referenced in the quote (“Seller”) the following conditions, together with any special conditions referred to or included in the quotations, apply to the exclusion of all other terms, including any terms attached to Buyer’s order, and shall be incorporated in any contract of which this quotation may form part or for any goods or services supplied by Seller. </w:t>
      </w:r>
      <w:proofErr w:type="gramStart"/>
      <w:r w:rsidRPr="00753FA0">
        <w:rPr>
          <w:rFonts w:ascii="Arial" w:hAnsi="Arial" w:cs="Arial"/>
          <w:color w:val="000000"/>
          <w:spacing w:val="8"/>
          <w:sz w:val="22"/>
          <w:szCs w:val="22"/>
        </w:rPr>
        <w:t>In the event that</w:t>
      </w:r>
      <w:proofErr w:type="gramEnd"/>
      <w:r w:rsidRPr="00753FA0">
        <w:rPr>
          <w:rFonts w:ascii="Arial" w:hAnsi="Arial" w:cs="Arial"/>
          <w:color w:val="000000"/>
          <w:spacing w:val="8"/>
          <w:sz w:val="22"/>
          <w:szCs w:val="22"/>
        </w:rPr>
        <w:t xml:space="preserve"> a separate contract does not come into force within thirty (30) days of acceptance Seller reserves the right to re-negotiate the price or withdraw from the quotation or contract. Whilst all drawings, illustrations, particulars etc. included as part of the quotation or shown in the catalogues, price lists or advertisements are given in good faith, they should not be taken as binding in respect of detail unless so stated in our quotation. Similarly, all weights, dimensions, power or chemical consumptions and other particulars of goods offered by Seller are stated in good faith and deviations there from shall not affect the validity of the contract or be made the basis of any claim against Seller. Full details of operating conditions, including temperatures, pressures and, where applicable, nature of corrosive liquids to be handled should be provided by Buyer to Seller.</w:t>
      </w:r>
    </w:p>
    <w:p w14:paraId="4DC605DD"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2. Scope.</w:t>
      </w:r>
      <w:r w:rsidRPr="00753FA0">
        <w:rPr>
          <w:rFonts w:ascii="Arial" w:hAnsi="Arial" w:cs="Arial"/>
          <w:color w:val="000000"/>
          <w:spacing w:val="8"/>
          <w:sz w:val="22"/>
          <w:szCs w:val="22"/>
        </w:rPr>
        <w:br/>
        <w:t>Prices quoted are Net, on an Ex-Works basis and valid for thirty (30) days from date of quotation unless otherwise stated. The terms and conditions of sale set forth below apply to all quotations made and purchase orders accepted by Seller. To the extent there is any conflict between the terms included in the quote by Seller and these terms and conditions, these terms and conditions shall control unless otherwise indicated in this agreement. Price and other commitments contained in the quote are based upon information known by Seller at the time the quote is issued. Prices and terms are subject to change based on new information learned or provided after the date of the quote, including but not limited to the application of any new tariff, unforeseen change in raw material pricing, or cost increase caused by international monetary fluctuations on import. Seller reserves the right to cancel or withdraw the quotation without notice at any time before acceptance. Quotations not accepted within thirty days shall be deemed to be withdrawn unless confirmed by us in writing. If any law, order, regulation, duty, tariff, or tax etc. is made or changed after the date of our quotation which affects our performance of the contract, the price shall be varied accordingly.</w:t>
      </w:r>
    </w:p>
    <w:p w14:paraId="40DBC6F4"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3. Acceptance of Orders.</w:t>
      </w:r>
      <w:r w:rsidRPr="00753FA0">
        <w:rPr>
          <w:rFonts w:ascii="Arial" w:hAnsi="Arial" w:cs="Arial"/>
          <w:color w:val="000000"/>
          <w:spacing w:val="8"/>
          <w:sz w:val="22"/>
          <w:szCs w:val="22"/>
        </w:rPr>
        <w:br/>
        <w:t>All orders are subject to acceptance by authorized officials at Seller’s division or subsidiary offices.</w:t>
      </w:r>
    </w:p>
    <w:p w14:paraId="4A6C460C"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lastRenderedPageBreak/>
        <w:t>4. Scheduling.</w:t>
      </w:r>
      <w:r w:rsidRPr="00753FA0">
        <w:rPr>
          <w:rFonts w:ascii="Arial" w:hAnsi="Arial" w:cs="Arial"/>
          <w:color w:val="000000"/>
          <w:spacing w:val="8"/>
          <w:sz w:val="22"/>
          <w:szCs w:val="22"/>
        </w:rPr>
        <w:br/>
        <w:t>Shipping dates are approximate and are based upon prompt receipt of all necessary information. Buyer shall furnish to Seller written shipping instructions in sufficient time to permit Seller to make shipment at Seller’s option within any time or times herein specified for shipment. In the event of a delay in delivery due to any reason described in Section 17 below, the delivery date shall be deferred for a period equal to the time lost by reason of delay. In the event such delay shall continue for more than two (2) weeks then, at Seller’s option, the order will be deemed cancelled without liability to Seller.</w:t>
      </w:r>
    </w:p>
    <w:p w14:paraId="36C8182C"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5. Delivery and Transportation.</w:t>
      </w:r>
      <w:r w:rsidRPr="00753FA0">
        <w:rPr>
          <w:rFonts w:ascii="Arial" w:hAnsi="Arial" w:cs="Arial"/>
          <w:color w:val="000000"/>
          <w:spacing w:val="8"/>
          <w:sz w:val="22"/>
          <w:szCs w:val="22"/>
        </w:rPr>
        <w:br/>
        <w:t>Seller’s delivery dates are approximate, and Seller shall use commercially reasonable efforts to deliver in accordance with the delivery and performance schedules. Seller shall not be liable for delays in delivery or other defaults in performance of this order arising out of causes beyond Seller’s control. If Seller is prevented by Buyer’s instructions, or lack of instructions, or by an act or omission on your part from dispatching goods that are ready for dispatch at the date specified in your order, then the cost involved in storage, protection, re-preservation, insurance, re-inspection and delivery from store shall be added to the price and any payment due on delivery shall be made on delivery into store as though goods had been delivered in accordance with the order. Delivery of the products hereunder shall be made EXW Incoterms 2020 Seller’s designated shipping point. Title and risk of loss to products passes to Buyer when Seller makes the products available to Buyer at the Seller designated shipping point. Transportation expenses will be paid by Buyer and risk of loss, shortage, delay or damage to products in transit shall fall upon Buyer, whose responsibility it shall be to file claims with the carrier. Late delivery shall not affect Buyer’s obligation to pay the price agreed.</w:t>
      </w:r>
    </w:p>
    <w:p w14:paraId="35541359"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6. Sitework.</w:t>
      </w:r>
      <w:r w:rsidRPr="00753FA0">
        <w:rPr>
          <w:rFonts w:ascii="Arial" w:hAnsi="Arial" w:cs="Arial"/>
          <w:color w:val="000000"/>
          <w:spacing w:val="8"/>
          <w:sz w:val="22"/>
          <w:szCs w:val="22"/>
        </w:rPr>
        <w:br/>
        <w:t>Where Seller’s price include installation or supervision of installation and/or commissioning of the plant offered or any other work on site, the quotations are based upon the following assumptions:</w:t>
      </w:r>
      <w:r w:rsidRPr="00753FA0">
        <w:rPr>
          <w:rFonts w:ascii="Arial" w:hAnsi="Arial" w:cs="Arial"/>
          <w:color w:val="000000"/>
          <w:spacing w:val="8"/>
          <w:sz w:val="22"/>
          <w:szCs w:val="22"/>
        </w:rPr>
        <w:br/>
        <w:t>Should working in excess of normal hours of work be requested by Buyer or additional work or expenditure be incurred due to the site conditions or should Seller be delayed by any cause beyond our reasonable control, then (</w:t>
      </w:r>
      <w:proofErr w:type="spellStart"/>
      <w:r w:rsidRPr="00753FA0">
        <w:rPr>
          <w:rFonts w:ascii="Arial" w:hAnsi="Arial" w:cs="Arial"/>
          <w:color w:val="000000"/>
          <w:spacing w:val="8"/>
          <w:sz w:val="22"/>
          <w:szCs w:val="22"/>
        </w:rPr>
        <w:t>i</w:t>
      </w:r>
      <w:proofErr w:type="spellEnd"/>
      <w:r w:rsidRPr="00753FA0">
        <w:rPr>
          <w:rFonts w:ascii="Arial" w:hAnsi="Arial" w:cs="Arial"/>
          <w:color w:val="000000"/>
          <w:spacing w:val="8"/>
          <w:sz w:val="22"/>
          <w:szCs w:val="22"/>
        </w:rPr>
        <w:t>) Seller shall not be liable for the delay and any contract completion time quoted shall be extended by a reasonable period, and (ii) without prejudice to Seller’s other legal rights Seller reserves the right to increase the prices accordingly.</w:t>
      </w:r>
      <w:r w:rsidRPr="00753FA0">
        <w:rPr>
          <w:rFonts w:ascii="Arial" w:hAnsi="Arial" w:cs="Arial"/>
          <w:color w:val="000000"/>
          <w:spacing w:val="8"/>
          <w:sz w:val="22"/>
          <w:szCs w:val="22"/>
        </w:rPr>
        <w:br/>
        <w:t>Sufficient water or other liquids for testing purposes will be provided by Buyer and facilities given for discharge as and when necessary, free of all cost to Seller.</w:t>
      </w:r>
      <w:r w:rsidRPr="00753FA0">
        <w:rPr>
          <w:rFonts w:ascii="Arial" w:hAnsi="Arial" w:cs="Arial"/>
          <w:color w:val="000000"/>
          <w:spacing w:val="8"/>
          <w:sz w:val="22"/>
          <w:szCs w:val="22"/>
        </w:rPr>
        <w:br/>
        <w:t xml:space="preserve">Where power and other services, including oil-free air, clean water, chemicals and electricity, are required for operation of the plant our quotations are based on the assumption that, free of cost to Seller, suitable such services and supplies will be available on site for testing purposes during </w:t>
      </w:r>
      <w:r w:rsidRPr="00753FA0">
        <w:rPr>
          <w:rFonts w:ascii="Arial" w:hAnsi="Arial" w:cs="Arial"/>
          <w:color w:val="000000"/>
          <w:spacing w:val="8"/>
          <w:sz w:val="22"/>
          <w:szCs w:val="22"/>
        </w:rPr>
        <w:lastRenderedPageBreak/>
        <w:t>installation and for putting the plant to work after installation is completed. Seller does not include for any treatment chemicals or services which should be made available by during the start-up and for subsequent use in the quantities specified by Seller.</w:t>
      </w:r>
      <w:r w:rsidRPr="00753FA0">
        <w:rPr>
          <w:rFonts w:ascii="Arial" w:hAnsi="Arial" w:cs="Arial"/>
          <w:color w:val="000000"/>
          <w:spacing w:val="8"/>
          <w:sz w:val="22"/>
          <w:szCs w:val="22"/>
        </w:rPr>
        <w:br/>
        <w:t>Seller require Buyer to provide us with assistance with regards to permits and visas and the like and to indemnify us in respect of local taxes and duties and the like.</w:t>
      </w:r>
      <w:r w:rsidRPr="00753FA0">
        <w:rPr>
          <w:rFonts w:ascii="Arial" w:hAnsi="Arial" w:cs="Arial"/>
          <w:color w:val="000000"/>
          <w:spacing w:val="8"/>
          <w:sz w:val="22"/>
          <w:szCs w:val="22"/>
        </w:rPr>
        <w:br/>
        <w:t xml:space="preserve">For contracts where Buyer has included for full installation, unless otherwise specified in the offer, Buyer must provide suitable access to and possession of the site, proper prepared foundations ready to receive the equipment as and when delivered, adequate off-loading facilities, temporary hand-railing and scaffolding, all civil engineering and builders work and materials of any kind, suitable storage, guarding and protection for the equipment from time of delivery, all necessary fences and barriers, any water, electric power, lighting and heating necessary on the site during and after installation and all necessary toilet, welfare and other facilities and adequate assistance, as required. All these shall be supplied at Buyer’s expense to enable the work to be expeditiously and continuously carried out. The price (unless otherwise specified in our offer) does not include any frost protection, site wiring, cabling and painting and treatment chemicals (which Buyer shall provide </w:t>
      </w:r>
      <w:proofErr w:type="spellStart"/>
      <w:r w:rsidRPr="00753FA0">
        <w:rPr>
          <w:rFonts w:ascii="Arial" w:hAnsi="Arial" w:cs="Arial"/>
          <w:color w:val="000000"/>
          <w:spacing w:val="8"/>
          <w:sz w:val="22"/>
          <w:szCs w:val="22"/>
        </w:rPr>
        <w:t>in</w:t>
      </w:r>
      <w:proofErr w:type="spellEnd"/>
      <w:r w:rsidRPr="00753FA0">
        <w:rPr>
          <w:rFonts w:ascii="Arial" w:hAnsi="Arial" w:cs="Arial"/>
          <w:color w:val="000000"/>
          <w:spacing w:val="8"/>
          <w:sz w:val="22"/>
          <w:szCs w:val="22"/>
        </w:rPr>
        <w:t xml:space="preserve"> adequate quantities of commercially pure quality during start-up, testing, commissioning and subsequently).</w:t>
      </w:r>
    </w:p>
    <w:p w14:paraId="7576FC1E"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7. Terms of Payment.</w:t>
      </w:r>
      <w:r w:rsidRPr="00753FA0">
        <w:rPr>
          <w:rFonts w:ascii="Arial" w:hAnsi="Arial" w:cs="Arial"/>
          <w:color w:val="000000"/>
          <w:spacing w:val="8"/>
          <w:sz w:val="22"/>
          <w:szCs w:val="22"/>
        </w:rPr>
        <w:br/>
        <w:t xml:space="preserve">Invoiced amounts may be adjusted by Seller based on foreign currency fluctuations when quote references FX rate used for goods to be imported. Invoices are due and payable fourteen (14) days from the date of invoice unless otherwise indicated in the invoice. Once an invoice has exceeded agreed payment terms and our request to pay immediately have been ignored by Buyer, Seller reserve the right to apply new terms including Cash in Advance for future orders. Seller shall invoice based on agreed upon milestones or upon delivery of products or materials. A 2% per month carrying charge will be applied to all past due amounts or the maximum rate permitted by applicable law, whichever is higher. Buyer agrees to pay reasonable attorney fees, court cost, and other collection expenses which might be incurred in the collection of Buyer’s overdue account in the event of the failure of Buyer to timely pay any account owing by Buyer to Seller. Any advance payments made by Buyer are payments on account and do not constitute a deposit, no offsets of any payments by the Buyer are allowed. In addition, to any remedies available under this Agreement or by law, Seller may stop work on all Buyer’s projects if invoices are past due. If shipments or approvals are delayed by Buyer, payments shall become due on the date when Seller is prepared to make shipment or Seller reasonably believes it met the applicable milestone and Buyer shall be responsible for a delay fee of 1.5% of the total order value plus any storage, protection, insurance, re-inspection and delivery from store, handling, crane or other costs incurred by Seller. If the work covered by the purchase order is delayed by Buyer, payments shall be made </w:t>
      </w:r>
      <w:r w:rsidRPr="00753FA0">
        <w:rPr>
          <w:rFonts w:ascii="Arial" w:hAnsi="Arial" w:cs="Arial"/>
          <w:color w:val="000000"/>
          <w:spacing w:val="8"/>
          <w:sz w:val="22"/>
          <w:szCs w:val="22"/>
        </w:rPr>
        <w:lastRenderedPageBreak/>
        <w:t>based on the purchase price and the percentage of completion. Seller reserves the right to ship to its order and make collection by sight draft with bill of lading attached.</w:t>
      </w:r>
    </w:p>
    <w:p w14:paraId="70B31357"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8. Taxes.</w:t>
      </w:r>
      <w:r w:rsidRPr="00753FA0">
        <w:rPr>
          <w:rFonts w:ascii="Arial" w:hAnsi="Arial" w:cs="Arial"/>
          <w:color w:val="000000"/>
          <w:spacing w:val="8"/>
          <w:sz w:val="22"/>
          <w:szCs w:val="22"/>
        </w:rPr>
        <w:br/>
        <w:t>Prices do not include foreign or domestic sales, use, excise or similar taxes. Consequently, in addition to the prices specified herein, the amount of any present or future sales, use, excise or other general or specific tax, or export or import duties, tariff or penalties or other governmental charges fixed or imposed by any lawful authority(s) upon or applicable to the production, sale, shipment, delivery or use of the products (or raw materials in the products) sold hereunder shall be added to the price and be paid by Buyer or, in lieu thereof, Buyer shall provide Seller with a tax exemption certificate acceptable to the taxing authorities. If such tax is paid by Seller, Buyer shall reimburse Seller upon presentation of invoice.</w:t>
      </w:r>
    </w:p>
    <w:p w14:paraId="20F9E7F8"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9. Warranty.</w:t>
      </w:r>
      <w:r w:rsidRPr="00753FA0">
        <w:rPr>
          <w:rFonts w:ascii="Arial" w:hAnsi="Arial" w:cs="Arial"/>
          <w:color w:val="000000"/>
          <w:spacing w:val="8"/>
          <w:sz w:val="22"/>
          <w:szCs w:val="22"/>
        </w:rPr>
        <w:br/>
        <w:t>Seller warrants the products manufactured by it shall meet the specifications accepted by Seller for the period set forth below. The extent of Seller’s obligation hereunder is to either repair or replace its nonconforming products, fair wear and tear excepted, at the location designated by Seller in its sole discretion, if Buyer notifies Seller of any non-conformance within twelve (12) months after date of delivery or twelve (12) months from the day of first product use whichever comes first. Repaired or replacement parts will be delivered carriage paid FOB or to Seller’s specified site. Parts replaced under warranty will carry the remainder of the original warranty. Expendable items including “membranes” are excluded from the warranty and covered under a separate warranty. No allowance will be granted for repairs or alterations made by Buyer without Seller’s written approval. The warranty shall not be construed to cover the cost of any work done by Buyer on material furnished by Seller or the cost of removal or installation of product. Products and parts not manufactured by Seller are warranted only to the extent and in the manner that the same are warranted to Seller by Seller’s vendors and then only to the extent Seller is able to enforce such warranty.</w:t>
      </w:r>
    </w:p>
    <w:p w14:paraId="2E44D635"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10. Limitation of Liability.</w:t>
      </w:r>
      <w:r w:rsidRPr="00753FA0">
        <w:rPr>
          <w:rFonts w:ascii="Arial" w:hAnsi="Arial" w:cs="Arial"/>
          <w:color w:val="000000"/>
          <w:spacing w:val="8"/>
          <w:sz w:val="22"/>
          <w:szCs w:val="22"/>
        </w:rPr>
        <w:br/>
        <w:t xml:space="preserve">Seller shall not be responsible, obligated, or liable for any injury or damage resulting from an application or use of its products, either singly or in combination with other products. SELLER’S SOLE LIABILITY FOR BREACH OF WARRANTY OR ANY OTHER CLAIM SHALL BE LIMITED TO REPAIR OR REPLACEMENT OF THE PRODUCTS OR RETURN OF THE PURCHASE PRICE, AT SELLER’S SOLE OPTION. SELLER SHALL NOT BE LIABLE FOR DAMAGES, INCLUDING BUT NOT LIMITED TO CONSEQUENTIAL, INCIDENTAL, PUNITIVE, LIQUIDATED OR SPECIAL DAMAGES ARISING OUT OF OR IN CONNECTION WITH THE USE OR PERFORMANCE OF THE PRODUCTS OR ARISING OUT OF ACCEPTANCE OF THIS ORDER. SELLER’S LIABILITY FOR </w:t>
      </w:r>
      <w:r w:rsidRPr="00753FA0">
        <w:rPr>
          <w:rFonts w:ascii="Arial" w:hAnsi="Arial" w:cs="Arial"/>
          <w:color w:val="000000"/>
          <w:spacing w:val="8"/>
          <w:sz w:val="22"/>
          <w:szCs w:val="22"/>
        </w:rPr>
        <w:lastRenderedPageBreak/>
        <w:t>DAMAGES (MONETARY OR OTHERWISE) UNDER ANY CIRCUMSTANCES FOR CLAIMS OR ANY TYPE OR CHARACTER, WILL BE LIMITED TO THE LESSER OF (I) THE AMOUNT OF ACTUAL DAMAGES INCURRED BY BUYER OR (II) THE AMOUNT PAID BY BUYER TO SELLER FOR THE AMOUNT AS STATED IN THE PURCHASE ORDER RELATED IN THE ALLEGED DEFECTIVE PRODUCTS, WHICH SHALL IN NO WAY EXCEED A ONE YEAR PERIOD IMMEDIATELY PRIOR TO SAID BREACH.</w:t>
      </w:r>
    </w:p>
    <w:p w14:paraId="21DA832D"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11. Acceptance of Products.</w:t>
      </w:r>
      <w:r w:rsidRPr="00753FA0">
        <w:rPr>
          <w:rFonts w:ascii="Arial" w:hAnsi="Arial" w:cs="Arial"/>
          <w:color w:val="000000"/>
          <w:spacing w:val="8"/>
          <w:sz w:val="22"/>
          <w:szCs w:val="22"/>
        </w:rPr>
        <w:br/>
        <w:t>Products will be deemed accepted without any claim by Buyer unless written notice of non- acceptance is received by Seller within fourteen (14) days of delivery. Such written notice shall not be considered received by Seller unless it is accompanied by all freight bills for such shipment, with agent’s notations as to damages, shortages and conditions of equipment, containers and seals. Non-accepted products are subject to return policy stated below.</w:t>
      </w:r>
    </w:p>
    <w:p w14:paraId="56E7199B"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12. Return of Products.</w:t>
      </w:r>
      <w:r w:rsidRPr="00753FA0">
        <w:rPr>
          <w:rFonts w:ascii="Arial" w:hAnsi="Arial" w:cs="Arial"/>
          <w:color w:val="000000"/>
          <w:spacing w:val="8"/>
          <w:sz w:val="22"/>
          <w:szCs w:val="22"/>
        </w:rPr>
        <w:br/>
        <w:t>No product may be returned to Seller without Seller’s prior written permission the form of a return material authorization.</w:t>
      </w:r>
    </w:p>
    <w:p w14:paraId="7ACE3B5A"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13. Damages to Returned Products.</w:t>
      </w:r>
      <w:r w:rsidRPr="00753FA0">
        <w:rPr>
          <w:rFonts w:ascii="Arial" w:hAnsi="Arial" w:cs="Arial"/>
          <w:color w:val="000000"/>
          <w:spacing w:val="8"/>
          <w:sz w:val="22"/>
          <w:szCs w:val="22"/>
        </w:rPr>
        <w:br/>
        <w:t>If Buyer elects to return product(s) to Seller for refurbishment, Buyer agrees to accept all risk of damage or destruction of such returned product(s), and Seller shall not be liable for any failure or inability on the part of Seller to complete refurbishment upon any such returned products.</w:t>
      </w:r>
    </w:p>
    <w:p w14:paraId="54C7E90D"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14. Limitations of Actions.</w:t>
      </w:r>
      <w:r w:rsidRPr="00753FA0">
        <w:rPr>
          <w:rFonts w:ascii="Arial" w:hAnsi="Arial" w:cs="Arial"/>
          <w:color w:val="000000"/>
          <w:spacing w:val="8"/>
          <w:sz w:val="22"/>
          <w:szCs w:val="22"/>
        </w:rPr>
        <w:br/>
        <w:t>All claims, demands or actions must be brought within one (1) year of date of tender of delivery, or eighteen (18) months of Buyer’s order, if no tender of delivery is made, notwithstanding any statutory period of limitation to the contrary.</w:t>
      </w:r>
    </w:p>
    <w:p w14:paraId="14446D38"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15. Intellectual Property.</w:t>
      </w:r>
      <w:r w:rsidRPr="00753FA0">
        <w:rPr>
          <w:rFonts w:ascii="Arial" w:hAnsi="Arial" w:cs="Arial"/>
          <w:color w:val="000000"/>
          <w:spacing w:val="8"/>
          <w:sz w:val="22"/>
          <w:szCs w:val="22"/>
        </w:rPr>
        <w:br/>
        <w:t xml:space="preserve">Buyer shall defend, indemnify and hold Seller harmless against all claims, demands judgment, expense or loss resulting from infringement of third-party patents, copyrights or trademarks arising from Seller’s compliance with Buyer’s design, specifications or instructions. Seller retains all intellectual rights, title and interest in the products and its underlying technology, delivered hereunder including Seller’s process, manufacturing and all other technologies used in Seller’s performance hereunder. The sale of products or parts hereof by Seller does not convey any license, rights, title or interest by implication, estoppel, or otherwise, under patent claims, industrial property right, trademark, trade secret or any other intellectual property rights covering combinations of these products or parts with other devices or elements. Buyer agrees that Seller </w:t>
      </w:r>
      <w:r w:rsidRPr="00753FA0">
        <w:rPr>
          <w:rFonts w:ascii="Arial" w:hAnsi="Arial" w:cs="Arial"/>
          <w:color w:val="000000"/>
          <w:spacing w:val="8"/>
          <w:sz w:val="22"/>
          <w:szCs w:val="22"/>
        </w:rPr>
        <w:lastRenderedPageBreak/>
        <w:t>may receive service and condition related data from the products for the purpose of providing support, services, and improving the products. Buyer may opt out of this collection of data by providing Seller with written notice. Seller may share such information with its distributors and service representatives for purposes of providing support to Buyer.</w:t>
      </w:r>
    </w:p>
    <w:p w14:paraId="201EBA7D"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16. Financial Responsibility.</w:t>
      </w:r>
      <w:r w:rsidRPr="00753FA0">
        <w:rPr>
          <w:rFonts w:ascii="Arial" w:hAnsi="Arial" w:cs="Arial"/>
          <w:color w:val="000000"/>
          <w:spacing w:val="8"/>
          <w:sz w:val="22"/>
          <w:szCs w:val="22"/>
        </w:rPr>
        <w:br/>
        <w:t>If in the sole judgment of Seller, the financial resources of Buyer become impaired or unsatisfactory at any time during the term of the agreement between the parties, then Seller may require of Buyer a deposit or suitable security or margin for performance by Buyer in such amount or amounts from time to time as Seller shall specify. Upon requirement of deposit, Buyer shall make such deposit not later than the close of Seller’s next business day. If Buyer fails to make such deposit, then Seller may at its option (1) cancel the agreement between the parties or the undelivered portion thereof, in which case Buyer agrees to pay Seller the difference between the market price on date of cancellation and the contract price; (2) resell at any time for Buyer’s account all or any undelivered portion of the products, in which case Buyer agrees to pay Seller the difference between the resale price and the contract price, or (3) otherwise change the terms of payment. In the event Buyer shall be or becomes insolvent, or admits in writing Buyer’s inability to pay Buyer’s debts as they mature, or if Buyer shall make an assignment with creditors or if there are instituted by or against Buyer proceedings in bankruptcy or under any insolvency laws or for reorganization, receivership or dissolution, Seller may terminate the agreement between the parties at any time and without notice.</w:t>
      </w:r>
    </w:p>
    <w:p w14:paraId="55E50947"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17. Force Majeure.</w:t>
      </w:r>
      <w:r w:rsidRPr="00753FA0">
        <w:rPr>
          <w:rFonts w:ascii="Arial" w:hAnsi="Arial" w:cs="Arial"/>
          <w:color w:val="000000"/>
          <w:spacing w:val="8"/>
          <w:sz w:val="22"/>
          <w:szCs w:val="22"/>
        </w:rPr>
        <w:br/>
        <w:t xml:space="preserve">Seller is excused for non-performance caused by any factor beyond its control Including but not limited to events of war, fire, epidemics, quarantine restrictions, flood, strike, </w:t>
      </w:r>
      <w:proofErr w:type="spellStart"/>
      <w:r w:rsidRPr="00753FA0">
        <w:rPr>
          <w:rFonts w:ascii="Arial" w:hAnsi="Arial" w:cs="Arial"/>
          <w:color w:val="000000"/>
          <w:spacing w:val="8"/>
          <w:sz w:val="22"/>
          <w:szCs w:val="22"/>
        </w:rPr>
        <w:t>labor</w:t>
      </w:r>
      <w:proofErr w:type="spellEnd"/>
      <w:r w:rsidRPr="00753FA0">
        <w:rPr>
          <w:rFonts w:ascii="Arial" w:hAnsi="Arial" w:cs="Arial"/>
          <w:color w:val="000000"/>
          <w:spacing w:val="8"/>
          <w:sz w:val="22"/>
          <w:szCs w:val="22"/>
        </w:rPr>
        <w:t xml:space="preserve"> trouble, breakage of equipment, accident, riot, the imposition of any government price control regulation or tariff, or any other act of governmental authority, acts of God or other contingencies (whether similar or dissimilar to the foregoing) beyond the reasonable control of Seller, interfering with the production, cost, supply, transportation, or consumption practice of Seller respecting the products covered by the agreement between the parties or in the event of inability to obtain on terms deemed by Seller to be reasonable or practicable any raw material or required service (Including without limitation energy source) used in connection therewith, quantities so affected shall be deemed to be an excusable delay in Seller’s performance for the duration of time such condition exists. As promptly as practicable Seller will notify Buyer of any force majeure events that delays or threatens to delay Seller’s timely performance hereunder. Seller may during any period of shortage due to any of these causes, allocate its supply of such raw material among its various uses therefore (e.g. manufacturing and sales) in such manner as Seller deems reasonable and practicable and allocate its supply of such products among such various uses thereof in any manner which Seller deems fair and reasonable.</w:t>
      </w:r>
    </w:p>
    <w:p w14:paraId="4EA1C7A7"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lastRenderedPageBreak/>
        <w:t>18. Reasonable Attorney’s Fees.</w:t>
      </w:r>
      <w:r w:rsidRPr="00753FA0">
        <w:rPr>
          <w:rFonts w:ascii="Arial" w:hAnsi="Arial" w:cs="Arial"/>
          <w:color w:val="000000"/>
          <w:spacing w:val="8"/>
          <w:sz w:val="22"/>
          <w:szCs w:val="22"/>
        </w:rPr>
        <w:br/>
        <w:t>In the event suit or other proceeding shall be brought for the recovery of the purchase price, or any unpaid balance or the breach by Buyer of any term of the agreement between Seller and Buyer, Buyer shall pay to Seller in addition to any damages provided by law, reasonable attorney’s fees and costs of collection.</w:t>
      </w:r>
    </w:p>
    <w:p w14:paraId="2F7529DC"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19. Security Title.</w:t>
      </w:r>
      <w:r w:rsidRPr="00753FA0">
        <w:rPr>
          <w:rFonts w:ascii="Arial" w:hAnsi="Arial" w:cs="Arial"/>
          <w:color w:val="000000"/>
          <w:spacing w:val="8"/>
          <w:sz w:val="22"/>
          <w:szCs w:val="22"/>
        </w:rPr>
        <w:br/>
        <w:t>Security title and right of possession of the products sold hereunder shall remain with Seller until all payments due from Buyer to Seller (Including deferred payments whether evidenced by notes or otherwise) shall have been made in cash and Buyer agrees to do all acts necessary to perfect and maintain such security right and title in Seller.</w:t>
      </w:r>
    </w:p>
    <w:p w14:paraId="3CD3AEBE"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20. Cancellations.</w:t>
      </w:r>
      <w:r w:rsidRPr="00753FA0">
        <w:rPr>
          <w:rFonts w:ascii="Arial" w:hAnsi="Arial" w:cs="Arial"/>
          <w:color w:val="000000"/>
          <w:spacing w:val="8"/>
          <w:sz w:val="22"/>
          <w:szCs w:val="22"/>
        </w:rPr>
        <w:br/>
        <w:t>Subject to Buyer’s immediate payment of all outstanding invoices, Buyer may cancel an order only upon Seller’s written consent and upon payment to Seller of cancellation charges, which shall consider among other things expenses incurred (including but not limited to engineering time) and commitments already made by Seller, and Seller’s profit margin.</w:t>
      </w:r>
    </w:p>
    <w:p w14:paraId="1FE3965A"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21. General.</w:t>
      </w:r>
      <w:r w:rsidRPr="00753FA0">
        <w:rPr>
          <w:rFonts w:ascii="Arial" w:hAnsi="Arial" w:cs="Arial"/>
          <w:color w:val="000000"/>
          <w:spacing w:val="8"/>
          <w:sz w:val="22"/>
          <w:szCs w:val="22"/>
        </w:rPr>
        <w:br/>
        <w:t>The agreement between Buyer and Seller and matter connected with the performance thereof shall be construed in accordance with and governed by the law of UK, without regard to its conflict of laws principles. The provisions of the United Nations Convention for the International Sale of Goods (“CISG”) shall not govern the rights and obligations of the parties in connection with this order. Any dispute arising out of or in connection with these terms and conditions shall be submitted to the Courts of London, UK.</w:t>
      </w:r>
      <w:r w:rsidRPr="00753FA0">
        <w:rPr>
          <w:rFonts w:ascii="Arial" w:hAnsi="Arial" w:cs="Arial"/>
          <w:color w:val="000000"/>
          <w:spacing w:val="8"/>
          <w:sz w:val="22"/>
          <w:szCs w:val="22"/>
        </w:rPr>
        <w:br/>
        <w:t>Any assignment of the agreement between Buyer and Seller or any rights or obligation of the agreement by Buyer without written consent of Seller shall be void.</w:t>
      </w:r>
      <w:r w:rsidRPr="00753FA0">
        <w:rPr>
          <w:rFonts w:ascii="Arial" w:hAnsi="Arial" w:cs="Arial"/>
          <w:color w:val="000000"/>
          <w:spacing w:val="8"/>
          <w:sz w:val="22"/>
          <w:szCs w:val="22"/>
        </w:rPr>
        <w:br/>
        <w:t>Except as may be expressly provided to the contrary in writing, the provisions of the agreement between Buyer and Seller are for the benefit of the parties hereto and not for any other person.</w:t>
      </w:r>
      <w:r w:rsidRPr="00753FA0">
        <w:rPr>
          <w:rFonts w:ascii="Arial" w:hAnsi="Arial" w:cs="Arial"/>
          <w:color w:val="000000"/>
          <w:spacing w:val="8"/>
          <w:sz w:val="22"/>
          <w:szCs w:val="22"/>
        </w:rPr>
        <w:br/>
        <w:t>The Buyer waives any claims and rights of setoff or withholding against any payments due hereunder and agrees to pay all sums due regardless of any dispute, setoff, or cross claim.</w:t>
      </w:r>
      <w:r w:rsidRPr="00753FA0">
        <w:rPr>
          <w:rFonts w:ascii="Arial" w:hAnsi="Arial" w:cs="Arial"/>
          <w:color w:val="000000"/>
          <w:spacing w:val="8"/>
          <w:sz w:val="22"/>
          <w:szCs w:val="22"/>
        </w:rPr>
        <w:br/>
        <w:t>No waiver by Seller of any breach of any provision of the agreement between Buyer and Seller will constitute a waiver of any other breach.</w:t>
      </w:r>
      <w:r w:rsidRPr="00753FA0">
        <w:rPr>
          <w:rFonts w:ascii="Arial" w:hAnsi="Arial" w:cs="Arial"/>
          <w:color w:val="000000"/>
          <w:spacing w:val="8"/>
          <w:sz w:val="22"/>
          <w:szCs w:val="22"/>
        </w:rPr>
        <w:br/>
        <w:t>The terms and conditions set forth above contain all of the representations, stipulations, warranties, agreements and understandings with respect to the subject matter of the agreement between Buyer and Seller, and its execution has not been induced by any representation, stipulation, warranty, agreement or understanding (Including any course of prior dealings between the parties hereto) of any kind other than those set forth herein.</w:t>
      </w:r>
      <w:r w:rsidRPr="00753FA0">
        <w:rPr>
          <w:rFonts w:ascii="Arial" w:hAnsi="Arial" w:cs="Arial"/>
          <w:color w:val="000000"/>
          <w:spacing w:val="8"/>
          <w:sz w:val="22"/>
          <w:szCs w:val="22"/>
        </w:rPr>
        <w:br/>
      </w:r>
      <w:r w:rsidRPr="00753FA0">
        <w:rPr>
          <w:rFonts w:ascii="Arial" w:hAnsi="Arial" w:cs="Arial"/>
          <w:color w:val="000000"/>
          <w:spacing w:val="8"/>
          <w:sz w:val="22"/>
          <w:szCs w:val="22"/>
        </w:rPr>
        <w:lastRenderedPageBreak/>
        <w:t>No amendment, addition to, alteration, modification or waiver of all or part of the agreement between Buyer and Seller shall be of any force or effect unless in writing and signed by Seller. If the terms and conditions set forth above conflict with those of any purchase order of Buyer written in connection with the sale of the products or any portion thereof, then the terms set forth above shall govern.</w:t>
      </w:r>
      <w:r w:rsidRPr="00753FA0">
        <w:rPr>
          <w:rFonts w:ascii="Arial" w:hAnsi="Arial" w:cs="Arial"/>
          <w:color w:val="000000"/>
          <w:spacing w:val="8"/>
          <w:sz w:val="22"/>
          <w:szCs w:val="22"/>
        </w:rPr>
        <w:br/>
        <w:t>In addition to the rights and remedies conferred upon Seller by law, Seller shall not be required to proceed with the performance of any order or contract, if Buyer is in default in the performance of any order or contract with Seller, and in case of doubt as to Buyer’s financial responsibility, shipments under this order may be suspended or sent sight draft with bill of lading attached by Seller.</w:t>
      </w:r>
      <w:r w:rsidRPr="00753FA0">
        <w:rPr>
          <w:rFonts w:ascii="Arial" w:hAnsi="Arial" w:cs="Arial"/>
          <w:color w:val="000000"/>
          <w:spacing w:val="8"/>
          <w:sz w:val="22"/>
          <w:szCs w:val="22"/>
        </w:rPr>
        <w:br/>
        <w:t>No delay or omission by Seller in exercising any right or remedy provided for herein shall constitute a waiver of such right or remedy and shall not be constituted as a bar to or a waiver of any such right or remedy on any future occasion.</w:t>
      </w:r>
    </w:p>
    <w:p w14:paraId="790BC0AD"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22. Entire Contract.</w:t>
      </w:r>
      <w:r w:rsidRPr="00753FA0">
        <w:rPr>
          <w:rFonts w:ascii="Arial" w:hAnsi="Arial" w:cs="Arial"/>
          <w:color w:val="000000"/>
          <w:spacing w:val="8"/>
          <w:sz w:val="22"/>
          <w:szCs w:val="22"/>
        </w:rPr>
        <w:br/>
        <w:t>The terms and conditions set forth herein constitute the entire expression of all the terms of this agreement and form a complete and exclusive statement as to the agreement between Seller and Buyer notwithstanding any other representations, promises, warranties, statements or agreements to the contrary. Any additional, contradictory or different terms contained in any initial or subsequent order or communication from Buyer pertaining to the products described on the face hereof are hereby objected to. No course of prior dealings between the parties and no usage of trade shall be relevant to supplement or explain any term used in this agreement. Acceptance or acquiescence in a course of performance rendered under this agreement shall not be relevant to determine the meaning of this Agreement even though the accepting or acquiescing party has knowledge of the nature of the performance and the opportunity for objection. No waiver or alteration of terms herein shall be binding unless in writing, signed by an executive officer of Seller.</w:t>
      </w:r>
    </w:p>
    <w:p w14:paraId="52EB9FB6"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23. Compliance with Laws.</w:t>
      </w:r>
      <w:r w:rsidRPr="00753FA0">
        <w:rPr>
          <w:rFonts w:ascii="Arial" w:hAnsi="Arial" w:cs="Arial"/>
          <w:color w:val="000000"/>
          <w:spacing w:val="8"/>
          <w:sz w:val="22"/>
          <w:szCs w:val="22"/>
        </w:rPr>
        <w:br/>
        <w:t>It is the intention of the parties that the transaction covered by these terms and conditions will always, comply with all applicable laws including, without limitation, all export and import laws, regulations and restrictions, foreign corrupt practices and anti-bribery laws.</w:t>
      </w:r>
    </w:p>
    <w:p w14:paraId="345AF47E"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24. Privacy and Business Code of Conduct.</w:t>
      </w:r>
      <w:r w:rsidRPr="00753FA0">
        <w:rPr>
          <w:rFonts w:ascii="Arial" w:hAnsi="Arial" w:cs="Arial"/>
          <w:color w:val="000000"/>
          <w:spacing w:val="8"/>
          <w:sz w:val="22"/>
          <w:szCs w:val="22"/>
        </w:rPr>
        <w:br/>
        <w:t>As a subsidiary of the Filtration Group, Seller abides by the Filtration Group Corporation Privacy Policy located at </w:t>
      </w:r>
      <w:hyperlink r:id="rId8" w:history="1">
        <w:r w:rsidRPr="00753FA0">
          <w:rPr>
            <w:rStyle w:val="Hyperlink"/>
            <w:rFonts w:ascii="Arial" w:hAnsi="Arial" w:cs="Arial"/>
            <w:b/>
            <w:bCs/>
            <w:color w:val="43B02A"/>
            <w:spacing w:val="8"/>
            <w:sz w:val="22"/>
            <w:szCs w:val="22"/>
          </w:rPr>
          <w:t>www.filtrationgroup.com/en-US/contact-us/privacy-policy</w:t>
        </w:r>
      </w:hyperlink>
      <w:r w:rsidRPr="00753FA0">
        <w:rPr>
          <w:rFonts w:ascii="Arial" w:hAnsi="Arial" w:cs="Arial"/>
          <w:color w:val="000000"/>
          <w:spacing w:val="8"/>
          <w:sz w:val="22"/>
          <w:szCs w:val="22"/>
        </w:rPr>
        <w:t xml:space="preserve"> regarding the collection, use, and retention of personal information (“Personal Data”) from European Union member countries and Switzerland. In addition, Seller is committed to create a better world for our employees, customers, suppliers, investors and community. Buyer hereby acknowledge and agree </w:t>
      </w:r>
      <w:r w:rsidRPr="00753FA0">
        <w:rPr>
          <w:rFonts w:ascii="Arial" w:hAnsi="Arial" w:cs="Arial"/>
          <w:color w:val="000000"/>
          <w:spacing w:val="8"/>
          <w:sz w:val="22"/>
          <w:szCs w:val="22"/>
        </w:rPr>
        <w:lastRenderedPageBreak/>
        <w:t>to abide by the Business Code of Conduct, which is available at </w:t>
      </w:r>
      <w:hyperlink r:id="rId9" w:history="1">
        <w:r w:rsidRPr="00753FA0">
          <w:rPr>
            <w:rStyle w:val="Hyperlink"/>
            <w:rFonts w:ascii="Arial" w:hAnsi="Arial" w:cs="Arial"/>
            <w:b/>
            <w:bCs/>
            <w:color w:val="43B02A"/>
            <w:spacing w:val="8"/>
            <w:sz w:val="22"/>
            <w:szCs w:val="22"/>
          </w:rPr>
          <w:t>www.filtrationgroup.com/en-US/about-us</w:t>
        </w:r>
      </w:hyperlink>
      <w:r w:rsidRPr="00753FA0">
        <w:rPr>
          <w:rFonts w:ascii="Arial" w:hAnsi="Arial" w:cs="Arial"/>
          <w:color w:val="000000"/>
          <w:spacing w:val="8"/>
          <w:sz w:val="22"/>
          <w:szCs w:val="22"/>
        </w:rPr>
        <w:t>.</w:t>
      </w:r>
    </w:p>
    <w:p w14:paraId="2062446A"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25. REACH Compliance.</w:t>
      </w:r>
      <w:r w:rsidRPr="00753FA0">
        <w:rPr>
          <w:rFonts w:ascii="Arial" w:hAnsi="Arial" w:cs="Arial"/>
          <w:color w:val="000000"/>
          <w:spacing w:val="8"/>
          <w:sz w:val="22"/>
          <w:szCs w:val="22"/>
        </w:rPr>
        <w:br/>
        <w:t>As a result of the European Union Restrictions of Hazardous Substance (RoHS3) Directive, and Article 59 of the European (REACH) Regulation of the presence of Substances of Very High Concern, Seller requires its suppliers to make disclosure regarding whether Conflict Minerals, Restricted Hazardous Substances (RoHS), or Substance of Very High Concern (REACH) are used to manufacture their products supplied to us.</w:t>
      </w:r>
    </w:p>
    <w:p w14:paraId="74E76AA6"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26. Export Licensing/ITAR Representation.</w:t>
      </w:r>
      <w:r w:rsidRPr="00753FA0">
        <w:rPr>
          <w:rFonts w:ascii="Arial" w:hAnsi="Arial" w:cs="Arial"/>
          <w:color w:val="000000"/>
          <w:spacing w:val="8"/>
          <w:sz w:val="22"/>
          <w:szCs w:val="22"/>
        </w:rPr>
        <w:br/>
        <w:t>Buyer agrees to comply with all applicable US and applicable non-US export and import laws and regulations, including but not limited to the International Traffic in Arms Regulation (ITAR) and the Export Administration Regulations (EAR) governing the export of any product and supporting technical data) delivered hereunder. Furthermore, any controlled technical data is not to be placed in the public domain, exported from the US, or given to any Foreign Person in the US without the prior specific written authorization of the Seller and the US Department of State or the US Department of Commerce as applicable. Notwithstanding anything that may be to the contrary Buyer’s obligation as set forth in this provision shall survive the expiration or termination of this agreement. Buyer agrees to defend, indemnify, and hold Seller harmless from all claims or liabilities that may arise from Buyer’s violation of any US or applicable non-US import or export laws.</w:t>
      </w:r>
    </w:p>
    <w:p w14:paraId="6CF361D5"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27. Arbitration.</w:t>
      </w:r>
      <w:r w:rsidRPr="00753FA0">
        <w:rPr>
          <w:rFonts w:ascii="Arial" w:hAnsi="Arial" w:cs="Arial"/>
          <w:color w:val="000000"/>
          <w:spacing w:val="8"/>
          <w:sz w:val="22"/>
          <w:szCs w:val="22"/>
        </w:rPr>
        <w:br/>
        <w:t>Any controversy or claim arising out of or relating to the Agreement between Buyer and Seller, or the breach thereof shall be finally settled in Geneva, Switzerland under the Rules of Arbitration of the International Chamber of Commerce by one or more arbitrators appointed in accordance with the said Rules and judgment upon the award rendered by the arbitrator may be entered in any court having jurisdiction thereof pursuant to the 1958 Convention on the Recognition and Enforcement of Foreign Arbitral Award.</w:t>
      </w:r>
    </w:p>
    <w:p w14:paraId="4FFD0836" w14:textId="77777777" w:rsidR="00753FA0" w:rsidRPr="00753FA0" w:rsidRDefault="00753FA0" w:rsidP="00753FA0">
      <w:pPr>
        <w:pStyle w:val="NormalWeb"/>
        <w:shd w:val="clear" w:color="auto" w:fill="FFFFFF"/>
        <w:spacing w:after="240" w:afterAutospacing="0" w:line="345" w:lineRule="atLeast"/>
        <w:rPr>
          <w:rFonts w:ascii="Arial" w:hAnsi="Arial" w:cs="Arial"/>
          <w:color w:val="000000"/>
          <w:spacing w:val="8"/>
          <w:sz w:val="22"/>
          <w:szCs w:val="22"/>
        </w:rPr>
      </w:pPr>
      <w:r w:rsidRPr="00753FA0">
        <w:rPr>
          <w:rStyle w:val="Strong"/>
          <w:rFonts w:ascii="Arial" w:hAnsi="Arial" w:cs="Arial"/>
          <w:color w:val="000000"/>
          <w:spacing w:val="8"/>
          <w:sz w:val="22"/>
          <w:szCs w:val="22"/>
        </w:rPr>
        <w:t>28. Volatility Surcharge.</w:t>
      </w:r>
      <w:r w:rsidRPr="00753FA0">
        <w:rPr>
          <w:rFonts w:ascii="Arial" w:hAnsi="Arial" w:cs="Arial"/>
          <w:color w:val="000000"/>
          <w:spacing w:val="8"/>
          <w:sz w:val="22"/>
          <w:szCs w:val="22"/>
        </w:rPr>
        <w:br/>
        <w:t>The prices stated in the invoice include a Volatility Surcharge to compensate for extraordinary cost fluctuations in raw material costs, tariffs, energy, transportation, and other factors. Any disputes regarding the surcharges must be raised within 10 working days from the invoice date. Failure to dispute within this period constitutes acceptance of the surcharges.</w:t>
      </w:r>
    </w:p>
    <w:p w14:paraId="6D345212" w14:textId="77777777" w:rsidR="00753FA0" w:rsidRPr="00753FA0" w:rsidRDefault="00753FA0" w:rsidP="006E17DF">
      <w:pPr>
        <w:pStyle w:val="BodyText"/>
        <w:spacing w:before="5"/>
        <w:ind w:left="215"/>
        <w:jc w:val="both"/>
        <w:rPr>
          <w:lang w:val="en-GB"/>
        </w:rPr>
      </w:pPr>
    </w:p>
    <w:sectPr w:rsidR="00753FA0" w:rsidRPr="00753FA0">
      <w:headerReference w:type="even" r:id="rId10"/>
      <w:headerReference w:type="default" r:id="rId11"/>
      <w:footerReference w:type="even" r:id="rId12"/>
      <w:footerReference w:type="default" r:id="rId13"/>
      <w:headerReference w:type="first" r:id="rId14"/>
      <w:footerReference w:type="first" r:id="rId15"/>
      <w:pgSz w:w="11910" w:h="16840"/>
      <w:pgMar w:top="1800" w:right="360" w:bottom="280" w:left="1060" w:header="50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4899" w14:textId="77777777" w:rsidR="008C5C03" w:rsidRDefault="008C5C03">
      <w:r>
        <w:separator/>
      </w:r>
    </w:p>
  </w:endnote>
  <w:endnote w:type="continuationSeparator" w:id="0">
    <w:p w14:paraId="428E47F4" w14:textId="77777777" w:rsidR="008C5C03" w:rsidRDefault="008C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B386" w14:textId="77777777" w:rsidR="00C20D75" w:rsidRDefault="00C20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highlight w:val="yellow"/>
      </w:rPr>
      <w:id w:val="1505163616"/>
      <w:docPartObj>
        <w:docPartGallery w:val="Page Numbers (Bottom of Page)"/>
        <w:docPartUnique/>
      </w:docPartObj>
    </w:sdtPr>
    <w:sdtEndPr/>
    <w:sdtContent>
      <w:sdt>
        <w:sdtPr>
          <w:rPr>
            <w:sz w:val="18"/>
            <w:szCs w:val="18"/>
            <w:highlight w:val="yellow"/>
          </w:rPr>
          <w:id w:val="1728636285"/>
          <w:docPartObj>
            <w:docPartGallery w:val="Page Numbers (Top of Page)"/>
            <w:docPartUnique/>
          </w:docPartObj>
        </w:sdtPr>
        <w:sdtEndPr/>
        <w:sdtContent>
          <w:p w14:paraId="462D64A9" w14:textId="7DD2BFD6" w:rsidR="00342398" w:rsidRDefault="00342398" w:rsidP="00B0012F">
            <w:pPr>
              <w:pStyle w:val="Footer"/>
              <w:tabs>
                <w:tab w:val="left" w:pos="4640"/>
                <w:tab w:val="center" w:pos="5245"/>
              </w:tabs>
              <w:rPr>
                <w:b/>
                <w:bCs/>
                <w:sz w:val="20"/>
                <w:szCs w:val="20"/>
                <w:highlight w:val="yellow"/>
              </w:rPr>
            </w:pPr>
          </w:p>
          <w:p w14:paraId="7D794CE9" w14:textId="77777777" w:rsidR="00D230A9" w:rsidRDefault="00C20D75" w:rsidP="00D230A9">
            <w:pPr>
              <w:tabs>
                <w:tab w:val="left" w:pos="339"/>
              </w:tabs>
              <w:spacing w:before="107"/>
              <w:ind w:left="214" w:right="1415"/>
              <w:jc w:val="both"/>
              <w:rPr>
                <w:b/>
                <w:bCs/>
              </w:rPr>
            </w:pPr>
            <w:r>
              <w:rPr>
                <w:b/>
                <w:bCs/>
                <w:noProof/>
                <w:sz w:val="20"/>
                <w:szCs w:val="20"/>
              </w:rPr>
              <w:drawing>
                <wp:inline distT="0" distB="0" distL="0" distR="0" wp14:anchorId="6D82CE23" wp14:editId="0DA98C87">
                  <wp:extent cx="1078126" cy="359410"/>
                  <wp:effectExtent l="0" t="0" r="8255" b="2540"/>
                  <wp:docPr id="126189966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50022"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3215" cy="361106"/>
                          </a:xfrm>
                          <a:prstGeom prst="rect">
                            <a:avLst/>
                          </a:prstGeom>
                        </pic:spPr>
                      </pic:pic>
                    </a:graphicData>
                  </a:graphic>
                </wp:inline>
              </w:drawing>
            </w:r>
            <w:r>
              <w:rPr>
                <w:b/>
                <w:bCs/>
                <w:noProof/>
                <w:sz w:val="20"/>
                <w:szCs w:val="20"/>
              </w:rPr>
              <w:drawing>
                <wp:inline distT="0" distB="0" distL="0" distR="0" wp14:anchorId="444B0ACC" wp14:editId="19C12E45">
                  <wp:extent cx="1073150" cy="430794"/>
                  <wp:effectExtent l="0" t="0" r="0" b="0"/>
                  <wp:docPr id="73998700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3718" name="Picture 2" descr="A black background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88617" cy="437003"/>
                          </a:xfrm>
                          <a:prstGeom prst="rect">
                            <a:avLst/>
                          </a:prstGeom>
                        </pic:spPr>
                      </pic:pic>
                    </a:graphicData>
                  </a:graphic>
                </wp:inline>
              </w:drawing>
            </w:r>
            <w:r w:rsidR="00D230A9" w:rsidRPr="00D230A9">
              <w:rPr>
                <w:b/>
                <w:bCs/>
              </w:rPr>
              <w:t xml:space="preserve"> </w:t>
            </w:r>
          </w:p>
          <w:p w14:paraId="7B3568C9" w14:textId="4681D29B" w:rsidR="00D230A9" w:rsidRPr="00D230A9" w:rsidRDefault="00D230A9" w:rsidP="00D230A9">
            <w:pPr>
              <w:tabs>
                <w:tab w:val="left" w:pos="339"/>
              </w:tabs>
              <w:spacing w:before="107"/>
              <w:ind w:left="214" w:right="1415"/>
              <w:jc w:val="both"/>
              <w:rPr>
                <w:sz w:val="12"/>
                <w:szCs w:val="18"/>
              </w:rPr>
            </w:pPr>
            <w:r w:rsidRPr="00D230A9">
              <w:rPr>
                <w:b/>
                <w:bCs/>
                <w:sz w:val="18"/>
                <w:szCs w:val="18"/>
              </w:rPr>
              <w:t>Filtration</w:t>
            </w:r>
            <w:r w:rsidRPr="00D230A9">
              <w:rPr>
                <w:b/>
                <w:bCs/>
                <w:spacing w:val="-8"/>
                <w:sz w:val="18"/>
                <w:szCs w:val="18"/>
              </w:rPr>
              <w:t xml:space="preserve"> </w:t>
            </w:r>
            <w:r w:rsidRPr="00D230A9">
              <w:rPr>
                <w:b/>
                <w:bCs/>
                <w:sz w:val="18"/>
                <w:szCs w:val="18"/>
              </w:rPr>
              <w:t>Group</w:t>
            </w:r>
            <w:r w:rsidRPr="00D230A9">
              <w:rPr>
                <w:b/>
                <w:bCs/>
                <w:spacing w:val="-8"/>
                <w:sz w:val="18"/>
                <w:szCs w:val="18"/>
              </w:rPr>
              <w:t xml:space="preserve"> </w:t>
            </w:r>
            <w:r w:rsidRPr="00D230A9">
              <w:rPr>
                <w:b/>
                <w:bCs/>
                <w:sz w:val="18"/>
                <w:szCs w:val="18"/>
              </w:rPr>
              <w:t>BV</w:t>
            </w:r>
            <w:r w:rsidRPr="00D230A9">
              <w:rPr>
                <w:b/>
                <w:bCs/>
                <w:spacing w:val="-8"/>
                <w:sz w:val="18"/>
                <w:szCs w:val="18"/>
              </w:rPr>
              <w:t xml:space="preserve"> </w:t>
            </w:r>
            <w:r w:rsidRPr="00D230A9">
              <w:rPr>
                <w:b/>
                <w:bCs/>
                <w:sz w:val="18"/>
                <w:szCs w:val="18"/>
              </w:rPr>
              <w:t>-</w:t>
            </w:r>
            <w:r w:rsidRPr="00D230A9">
              <w:rPr>
                <w:b/>
                <w:bCs/>
                <w:spacing w:val="-8"/>
                <w:sz w:val="18"/>
                <w:szCs w:val="18"/>
              </w:rPr>
              <w:t xml:space="preserve"> </w:t>
            </w:r>
            <w:r w:rsidRPr="00D230A9">
              <w:rPr>
                <w:b/>
                <w:bCs/>
                <w:sz w:val="18"/>
                <w:szCs w:val="18"/>
              </w:rPr>
              <w:t>Amafilter®</w:t>
            </w:r>
            <w:r w:rsidRPr="00D230A9">
              <w:rPr>
                <w:b/>
                <w:bCs/>
                <w:spacing w:val="29"/>
                <w:sz w:val="18"/>
                <w:szCs w:val="18"/>
              </w:rPr>
              <w:t xml:space="preserve"> </w:t>
            </w:r>
            <w:r w:rsidRPr="00D230A9">
              <w:rPr>
                <w:b/>
                <w:bCs/>
                <w:sz w:val="18"/>
                <w:szCs w:val="18"/>
              </w:rPr>
              <w:t>and</w:t>
            </w:r>
            <w:r w:rsidRPr="00D230A9">
              <w:rPr>
                <w:b/>
                <w:bCs/>
                <w:spacing w:val="-8"/>
                <w:sz w:val="18"/>
                <w:szCs w:val="18"/>
              </w:rPr>
              <w:t xml:space="preserve"> </w:t>
            </w:r>
            <w:r w:rsidRPr="00D230A9">
              <w:rPr>
                <w:b/>
                <w:bCs/>
                <w:sz w:val="18"/>
                <w:szCs w:val="18"/>
              </w:rPr>
              <w:t xml:space="preserve">PCI Membranes Sp. z </w:t>
            </w:r>
            <w:proofErr w:type="spellStart"/>
            <w:r w:rsidRPr="00D230A9">
              <w:rPr>
                <w:b/>
                <w:bCs/>
                <w:sz w:val="18"/>
                <w:szCs w:val="18"/>
              </w:rPr>
              <w:t>o.o.</w:t>
            </w:r>
            <w:proofErr w:type="spellEnd"/>
          </w:p>
          <w:p w14:paraId="75584AA7" w14:textId="4B01E7BF" w:rsidR="00342398" w:rsidRDefault="00342398" w:rsidP="00B0012F">
            <w:pPr>
              <w:pStyle w:val="Footer"/>
              <w:tabs>
                <w:tab w:val="left" w:pos="4640"/>
                <w:tab w:val="center" w:pos="5245"/>
              </w:tabs>
              <w:rPr>
                <w:b/>
                <w:bCs/>
                <w:sz w:val="20"/>
                <w:szCs w:val="20"/>
                <w:highlight w:val="yellow"/>
              </w:rPr>
            </w:pPr>
          </w:p>
          <w:p w14:paraId="5ECE56D3" w14:textId="212075EA" w:rsidR="00B0012F" w:rsidRPr="00B0012F" w:rsidRDefault="008C5C03" w:rsidP="00B0012F">
            <w:pPr>
              <w:pStyle w:val="Footer"/>
              <w:tabs>
                <w:tab w:val="left" w:pos="4640"/>
                <w:tab w:val="center" w:pos="5245"/>
              </w:tabs>
              <w:rPr>
                <w:sz w:val="18"/>
                <w:szCs w:val="18"/>
              </w:rPr>
            </w:pPr>
          </w:p>
        </w:sdtContent>
      </w:sdt>
    </w:sdtContent>
  </w:sdt>
  <w:p w14:paraId="11C816B3" w14:textId="77777777" w:rsidR="00B0012F" w:rsidRDefault="00B00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79B9" w14:textId="77777777" w:rsidR="00C20D75" w:rsidRDefault="00C20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ABE6" w14:textId="77777777" w:rsidR="008C5C03" w:rsidRDefault="008C5C03">
      <w:r>
        <w:separator/>
      </w:r>
    </w:p>
  </w:footnote>
  <w:footnote w:type="continuationSeparator" w:id="0">
    <w:p w14:paraId="6E8F5581" w14:textId="77777777" w:rsidR="008C5C03" w:rsidRDefault="008C5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16A4" w14:textId="77777777" w:rsidR="00C20D75" w:rsidRDefault="00C20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66FB" w14:textId="77777777" w:rsidR="00656FF7" w:rsidRDefault="00892A00">
    <w:pPr>
      <w:pStyle w:val="BodyText"/>
      <w:spacing w:line="14" w:lineRule="auto"/>
      <w:rPr>
        <w:sz w:val="20"/>
      </w:rPr>
    </w:pPr>
    <w:r>
      <w:rPr>
        <w:noProof/>
      </w:rPr>
      <w:drawing>
        <wp:anchor distT="0" distB="0" distL="0" distR="0" simplePos="0" relativeHeight="487493120" behindDoc="1" locked="0" layoutInCell="1" allowOverlap="1" wp14:anchorId="6CB966FC" wp14:editId="06F8C581">
          <wp:simplePos x="0" y="0"/>
          <wp:positionH relativeFrom="page">
            <wp:posOffset>4597400</wp:posOffset>
          </wp:positionH>
          <wp:positionV relativeFrom="page">
            <wp:posOffset>336550</wp:posOffset>
          </wp:positionV>
          <wp:extent cx="2351405" cy="577850"/>
          <wp:effectExtent l="0" t="0" r="0" b="0"/>
          <wp:wrapNone/>
          <wp:docPr id="44908211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51596" cy="57789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247B" w14:textId="77777777" w:rsidR="00C20D75" w:rsidRDefault="00C20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A00DE"/>
    <w:multiLevelType w:val="hybridMultilevel"/>
    <w:tmpl w:val="D1621374"/>
    <w:lvl w:ilvl="0" w:tplc="CF06A0E2">
      <w:start w:val="1"/>
      <w:numFmt w:val="decimal"/>
      <w:lvlText w:val="%1)"/>
      <w:lvlJc w:val="left"/>
      <w:pPr>
        <w:ind w:left="183" w:hanging="183"/>
      </w:pPr>
      <w:rPr>
        <w:rFonts w:ascii="Arial" w:eastAsia="Arial" w:hAnsi="Arial" w:cs="Arial" w:hint="default"/>
        <w:b w:val="0"/>
        <w:bCs w:val="0"/>
        <w:i w:val="0"/>
        <w:iCs w:val="0"/>
        <w:color w:val="231F20"/>
        <w:spacing w:val="-2"/>
        <w:w w:val="100"/>
        <w:sz w:val="16"/>
        <w:szCs w:val="16"/>
        <w:lang w:val="en-US" w:eastAsia="en-US" w:bidi="ar-SA"/>
      </w:rPr>
    </w:lvl>
    <w:lvl w:ilvl="1" w:tplc="67104606">
      <w:start w:val="1"/>
      <w:numFmt w:val="lowerLetter"/>
      <w:lvlText w:val="%2."/>
      <w:lvlJc w:val="left"/>
      <w:pPr>
        <w:ind w:left="183" w:hanging="180"/>
      </w:pPr>
      <w:rPr>
        <w:rFonts w:ascii="Arial" w:eastAsia="Arial" w:hAnsi="Arial" w:cs="Arial" w:hint="default"/>
        <w:b w:val="0"/>
        <w:bCs w:val="0"/>
        <w:i w:val="0"/>
        <w:iCs w:val="0"/>
        <w:color w:val="231F20"/>
        <w:spacing w:val="-2"/>
        <w:w w:val="100"/>
        <w:sz w:val="16"/>
        <w:szCs w:val="16"/>
        <w:lang w:val="en-US" w:eastAsia="en-US" w:bidi="ar-SA"/>
      </w:rPr>
    </w:lvl>
    <w:lvl w:ilvl="2" w:tplc="ADD8D4F2">
      <w:numFmt w:val="bullet"/>
      <w:lvlText w:val="•"/>
      <w:lvlJc w:val="left"/>
      <w:pPr>
        <w:ind w:left="2241" w:hanging="180"/>
      </w:pPr>
      <w:rPr>
        <w:rFonts w:hint="default"/>
        <w:lang w:val="en-US" w:eastAsia="en-US" w:bidi="ar-SA"/>
      </w:rPr>
    </w:lvl>
    <w:lvl w:ilvl="3" w:tplc="089CCB7C">
      <w:numFmt w:val="bullet"/>
      <w:lvlText w:val="•"/>
      <w:lvlJc w:val="left"/>
      <w:pPr>
        <w:ind w:left="3267" w:hanging="180"/>
      </w:pPr>
      <w:rPr>
        <w:rFonts w:hint="default"/>
        <w:lang w:val="en-US" w:eastAsia="en-US" w:bidi="ar-SA"/>
      </w:rPr>
    </w:lvl>
    <w:lvl w:ilvl="4" w:tplc="0EE26034">
      <w:numFmt w:val="bullet"/>
      <w:lvlText w:val="•"/>
      <w:lvlJc w:val="left"/>
      <w:pPr>
        <w:ind w:left="4294" w:hanging="180"/>
      </w:pPr>
      <w:rPr>
        <w:rFonts w:hint="default"/>
        <w:lang w:val="en-US" w:eastAsia="en-US" w:bidi="ar-SA"/>
      </w:rPr>
    </w:lvl>
    <w:lvl w:ilvl="5" w:tplc="0668FEFC">
      <w:numFmt w:val="bullet"/>
      <w:lvlText w:val="•"/>
      <w:lvlJc w:val="left"/>
      <w:pPr>
        <w:ind w:left="5320" w:hanging="180"/>
      </w:pPr>
      <w:rPr>
        <w:rFonts w:hint="default"/>
        <w:lang w:val="en-US" w:eastAsia="en-US" w:bidi="ar-SA"/>
      </w:rPr>
    </w:lvl>
    <w:lvl w:ilvl="6" w:tplc="9C32D98C">
      <w:numFmt w:val="bullet"/>
      <w:lvlText w:val="•"/>
      <w:lvlJc w:val="left"/>
      <w:pPr>
        <w:ind w:left="6347" w:hanging="180"/>
      </w:pPr>
      <w:rPr>
        <w:rFonts w:hint="default"/>
        <w:lang w:val="en-US" w:eastAsia="en-US" w:bidi="ar-SA"/>
      </w:rPr>
    </w:lvl>
    <w:lvl w:ilvl="7" w:tplc="591C01A2">
      <w:numFmt w:val="bullet"/>
      <w:lvlText w:val="•"/>
      <w:lvlJc w:val="left"/>
      <w:pPr>
        <w:ind w:left="7373" w:hanging="180"/>
      </w:pPr>
      <w:rPr>
        <w:rFonts w:hint="default"/>
        <w:lang w:val="en-US" w:eastAsia="en-US" w:bidi="ar-SA"/>
      </w:rPr>
    </w:lvl>
    <w:lvl w:ilvl="8" w:tplc="FB209CB4">
      <w:numFmt w:val="bullet"/>
      <w:lvlText w:val="•"/>
      <w:lvlJc w:val="left"/>
      <w:pPr>
        <w:ind w:left="8400" w:hanging="180"/>
      </w:pPr>
      <w:rPr>
        <w:rFonts w:hint="default"/>
        <w:lang w:val="en-US" w:eastAsia="en-US" w:bidi="ar-SA"/>
      </w:rPr>
    </w:lvl>
  </w:abstractNum>
  <w:abstractNum w:abstractNumId="1" w15:restartNumberingAfterBreak="0">
    <w:nsid w:val="531F029A"/>
    <w:multiLevelType w:val="hybridMultilevel"/>
    <w:tmpl w:val="E05841B6"/>
    <w:lvl w:ilvl="0" w:tplc="08090017">
      <w:start w:val="1"/>
      <w:numFmt w:val="lowerLetter"/>
      <w:lvlText w:val="%1)"/>
      <w:lvlJc w:val="left"/>
      <w:pPr>
        <w:ind w:left="905" w:hanging="360"/>
      </w:pPr>
    </w:lvl>
    <w:lvl w:ilvl="1" w:tplc="08090019" w:tentative="1">
      <w:start w:val="1"/>
      <w:numFmt w:val="lowerLetter"/>
      <w:lvlText w:val="%2."/>
      <w:lvlJc w:val="left"/>
      <w:pPr>
        <w:ind w:left="1625" w:hanging="360"/>
      </w:pPr>
    </w:lvl>
    <w:lvl w:ilvl="2" w:tplc="0809001B" w:tentative="1">
      <w:start w:val="1"/>
      <w:numFmt w:val="lowerRoman"/>
      <w:lvlText w:val="%3."/>
      <w:lvlJc w:val="right"/>
      <w:pPr>
        <w:ind w:left="2345" w:hanging="180"/>
      </w:pPr>
    </w:lvl>
    <w:lvl w:ilvl="3" w:tplc="0809000F" w:tentative="1">
      <w:start w:val="1"/>
      <w:numFmt w:val="decimal"/>
      <w:lvlText w:val="%4."/>
      <w:lvlJc w:val="left"/>
      <w:pPr>
        <w:ind w:left="3065" w:hanging="360"/>
      </w:pPr>
    </w:lvl>
    <w:lvl w:ilvl="4" w:tplc="08090019" w:tentative="1">
      <w:start w:val="1"/>
      <w:numFmt w:val="lowerLetter"/>
      <w:lvlText w:val="%5."/>
      <w:lvlJc w:val="left"/>
      <w:pPr>
        <w:ind w:left="3785" w:hanging="360"/>
      </w:pPr>
    </w:lvl>
    <w:lvl w:ilvl="5" w:tplc="0809001B" w:tentative="1">
      <w:start w:val="1"/>
      <w:numFmt w:val="lowerRoman"/>
      <w:lvlText w:val="%6."/>
      <w:lvlJc w:val="right"/>
      <w:pPr>
        <w:ind w:left="4505" w:hanging="180"/>
      </w:pPr>
    </w:lvl>
    <w:lvl w:ilvl="6" w:tplc="0809000F" w:tentative="1">
      <w:start w:val="1"/>
      <w:numFmt w:val="decimal"/>
      <w:lvlText w:val="%7."/>
      <w:lvlJc w:val="left"/>
      <w:pPr>
        <w:ind w:left="5225" w:hanging="360"/>
      </w:pPr>
    </w:lvl>
    <w:lvl w:ilvl="7" w:tplc="08090019" w:tentative="1">
      <w:start w:val="1"/>
      <w:numFmt w:val="lowerLetter"/>
      <w:lvlText w:val="%8."/>
      <w:lvlJc w:val="left"/>
      <w:pPr>
        <w:ind w:left="5945" w:hanging="360"/>
      </w:pPr>
    </w:lvl>
    <w:lvl w:ilvl="8" w:tplc="0809001B" w:tentative="1">
      <w:start w:val="1"/>
      <w:numFmt w:val="lowerRoman"/>
      <w:lvlText w:val="%9."/>
      <w:lvlJc w:val="right"/>
      <w:pPr>
        <w:ind w:left="6665" w:hanging="180"/>
      </w:pPr>
    </w:lvl>
  </w:abstractNum>
  <w:abstractNum w:abstractNumId="2" w15:restartNumberingAfterBreak="0">
    <w:nsid w:val="5A5F3C88"/>
    <w:multiLevelType w:val="hybridMultilevel"/>
    <w:tmpl w:val="D00E4FF6"/>
    <w:lvl w:ilvl="0" w:tplc="910C214C">
      <w:start w:val="1"/>
      <w:numFmt w:val="upperRoman"/>
      <w:lvlText w:val="%1."/>
      <w:lvlJc w:val="left"/>
      <w:pPr>
        <w:ind w:left="934" w:hanging="720"/>
      </w:pPr>
      <w:rPr>
        <w:rFonts w:hint="default"/>
        <w:color w:val="231F20"/>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num w:numId="1" w16cid:durableId="1843009672">
    <w:abstractNumId w:val="0"/>
  </w:num>
  <w:num w:numId="2" w16cid:durableId="2121677989">
    <w:abstractNumId w:val="1"/>
  </w:num>
  <w:num w:numId="3" w16cid:durableId="890264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F7"/>
    <w:rsid w:val="00050AD3"/>
    <w:rsid w:val="00077918"/>
    <w:rsid w:val="0009238B"/>
    <w:rsid w:val="00094417"/>
    <w:rsid w:val="000C47BC"/>
    <w:rsid w:val="00107C89"/>
    <w:rsid w:val="00111866"/>
    <w:rsid w:val="00113CB7"/>
    <w:rsid w:val="001246B3"/>
    <w:rsid w:val="00151CC9"/>
    <w:rsid w:val="00157388"/>
    <w:rsid w:val="00171450"/>
    <w:rsid w:val="00196ED1"/>
    <w:rsid w:val="001D26B7"/>
    <w:rsid w:val="001E601C"/>
    <w:rsid w:val="00222872"/>
    <w:rsid w:val="0023599B"/>
    <w:rsid w:val="0027122F"/>
    <w:rsid w:val="0027229A"/>
    <w:rsid w:val="00273C77"/>
    <w:rsid w:val="002A13BF"/>
    <w:rsid w:val="002B5458"/>
    <w:rsid w:val="002E02CE"/>
    <w:rsid w:val="002F375E"/>
    <w:rsid w:val="002F45A8"/>
    <w:rsid w:val="0033170E"/>
    <w:rsid w:val="00342398"/>
    <w:rsid w:val="00367296"/>
    <w:rsid w:val="00375170"/>
    <w:rsid w:val="003C7283"/>
    <w:rsid w:val="004216BD"/>
    <w:rsid w:val="004501BC"/>
    <w:rsid w:val="0049073E"/>
    <w:rsid w:val="004C7822"/>
    <w:rsid w:val="004E3D95"/>
    <w:rsid w:val="005004ED"/>
    <w:rsid w:val="0054578E"/>
    <w:rsid w:val="00562586"/>
    <w:rsid w:val="005A6339"/>
    <w:rsid w:val="005A7075"/>
    <w:rsid w:val="005F5974"/>
    <w:rsid w:val="00614258"/>
    <w:rsid w:val="00632BA4"/>
    <w:rsid w:val="00656FF7"/>
    <w:rsid w:val="006909C6"/>
    <w:rsid w:val="006C1487"/>
    <w:rsid w:val="006E17DF"/>
    <w:rsid w:val="006F1675"/>
    <w:rsid w:val="006F198B"/>
    <w:rsid w:val="00726147"/>
    <w:rsid w:val="00753FA0"/>
    <w:rsid w:val="00764F78"/>
    <w:rsid w:val="00781824"/>
    <w:rsid w:val="00785007"/>
    <w:rsid w:val="007D0355"/>
    <w:rsid w:val="008241A7"/>
    <w:rsid w:val="0088186A"/>
    <w:rsid w:val="00892A00"/>
    <w:rsid w:val="008C0294"/>
    <w:rsid w:val="008C5C03"/>
    <w:rsid w:val="008F6040"/>
    <w:rsid w:val="00935B09"/>
    <w:rsid w:val="00936E49"/>
    <w:rsid w:val="00992A58"/>
    <w:rsid w:val="009D5D72"/>
    <w:rsid w:val="009F128B"/>
    <w:rsid w:val="009F4EC9"/>
    <w:rsid w:val="009F69F0"/>
    <w:rsid w:val="00A33EE0"/>
    <w:rsid w:val="00A70487"/>
    <w:rsid w:val="00A92B30"/>
    <w:rsid w:val="00AB2F88"/>
    <w:rsid w:val="00AB7E9C"/>
    <w:rsid w:val="00AE2094"/>
    <w:rsid w:val="00AE220A"/>
    <w:rsid w:val="00B0012F"/>
    <w:rsid w:val="00B02660"/>
    <w:rsid w:val="00B702D7"/>
    <w:rsid w:val="00B76526"/>
    <w:rsid w:val="00B76F32"/>
    <w:rsid w:val="00B859E2"/>
    <w:rsid w:val="00BB579F"/>
    <w:rsid w:val="00BD69A2"/>
    <w:rsid w:val="00BE1764"/>
    <w:rsid w:val="00BE4C5C"/>
    <w:rsid w:val="00C20D75"/>
    <w:rsid w:val="00C5311F"/>
    <w:rsid w:val="00C643B8"/>
    <w:rsid w:val="00CC53AE"/>
    <w:rsid w:val="00CD2A3A"/>
    <w:rsid w:val="00D175C8"/>
    <w:rsid w:val="00D230A9"/>
    <w:rsid w:val="00DD0D63"/>
    <w:rsid w:val="00DF2E99"/>
    <w:rsid w:val="00E51A1F"/>
    <w:rsid w:val="00E57AF3"/>
    <w:rsid w:val="00E87AB7"/>
    <w:rsid w:val="00EF60F7"/>
    <w:rsid w:val="00F3449A"/>
    <w:rsid w:val="00F53CE2"/>
    <w:rsid w:val="00F726F3"/>
    <w:rsid w:val="00F974D7"/>
    <w:rsid w:val="00FA4824"/>
    <w:rsid w:val="00FD4B51"/>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6667"/>
  <w15:docId w15:val="{C34BECA8-E6FD-4076-B14E-5DA8003C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23"/>
      <w:ind w:left="215"/>
    </w:pPr>
    <w:rPr>
      <w:b/>
      <w:bCs/>
      <w:sz w:val="28"/>
      <w:szCs w:val="28"/>
    </w:rPr>
  </w:style>
  <w:style w:type="paragraph" w:styleId="ListParagraph">
    <w:name w:val="List Paragraph"/>
    <w:basedOn w:val="Normal"/>
    <w:uiPriority w:val="1"/>
    <w:qFormat/>
    <w:pPr>
      <w:spacing w:before="108"/>
      <w:ind w:left="2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012F"/>
    <w:pPr>
      <w:tabs>
        <w:tab w:val="center" w:pos="4513"/>
        <w:tab w:val="right" w:pos="9026"/>
      </w:tabs>
    </w:pPr>
  </w:style>
  <w:style w:type="character" w:customStyle="1" w:styleId="HeaderChar">
    <w:name w:val="Header Char"/>
    <w:basedOn w:val="DefaultParagraphFont"/>
    <w:link w:val="Header"/>
    <w:uiPriority w:val="99"/>
    <w:rsid w:val="00B0012F"/>
    <w:rPr>
      <w:rFonts w:ascii="Arial" w:eastAsia="Arial" w:hAnsi="Arial" w:cs="Arial"/>
    </w:rPr>
  </w:style>
  <w:style w:type="paragraph" w:styleId="Footer">
    <w:name w:val="footer"/>
    <w:basedOn w:val="Normal"/>
    <w:link w:val="FooterChar"/>
    <w:uiPriority w:val="99"/>
    <w:unhideWhenUsed/>
    <w:rsid w:val="00B0012F"/>
    <w:pPr>
      <w:tabs>
        <w:tab w:val="center" w:pos="4513"/>
        <w:tab w:val="right" w:pos="9026"/>
      </w:tabs>
    </w:pPr>
  </w:style>
  <w:style w:type="character" w:customStyle="1" w:styleId="FooterChar">
    <w:name w:val="Footer Char"/>
    <w:basedOn w:val="DefaultParagraphFont"/>
    <w:link w:val="Footer"/>
    <w:uiPriority w:val="99"/>
    <w:rsid w:val="00B0012F"/>
    <w:rPr>
      <w:rFonts w:ascii="Arial" w:eastAsia="Arial" w:hAnsi="Arial" w:cs="Arial"/>
    </w:rPr>
  </w:style>
  <w:style w:type="paragraph" w:styleId="Revision">
    <w:name w:val="Revision"/>
    <w:hidden/>
    <w:uiPriority w:val="99"/>
    <w:semiHidden/>
    <w:rsid w:val="00F3449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E1764"/>
    <w:rPr>
      <w:sz w:val="16"/>
      <w:szCs w:val="16"/>
    </w:rPr>
  </w:style>
  <w:style w:type="paragraph" w:styleId="CommentText">
    <w:name w:val="annotation text"/>
    <w:basedOn w:val="Normal"/>
    <w:link w:val="CommentTextChar"/>
    <w:uiPriority w:val="99"/>
    <w:unhideWhenUsed/>
    <w:rsid w:val="00BE1764"/>
    <w:rPr>
      <w:sz w:val="20"/>
      <w:szCs w:val="20"/>
    </w:rPr>
  </w:style>
  <w:style w:type="character" w:customStyle="1" w:styleId="CommentTextChar">
    <w:name w:val="Comment Text Char"/>
    <w:basedOn w:val="DefaultParagraphFont"/>
    <w:link w:val="CommentText"/>
    <w:uiPriority w:val="99"/>
    <w:rsid w:val="00BE176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E1764"/>
    <w:rPr>
      <w:b/>
      <w:bCs/>
    </w:rPr>
  </w:style>
  <w:style w:type="character" w:customStyle="1" w:styleId="CommentSubjectChar">
    <w:name w:val="Comment Subject Char"/>
    <w:basedOn w:val="CommentTextChar"/>
    <w:link w:val="CommentSubject"/>
    <w:uiPriority w:val="99"/>
    <w:semiHidden/>
    <w:rsid w:val="00BE1764"/>
    <w:rPr>
      <w:rFonts w:ascii="Arial" w:eastAsia="Arial" w:hAnsi="Arial" w:cs="Arial"/>
      <w:b/>
      <w:bCs/>
      <w:sz w:val="20"/>
      <w:szCs w:val="20"/>
    </w:rPr>
  </w:style>
  <w:style w:type="paragraph" w:styleId="NormalWeb">
    <w:name w:val="Normal (Web)"/>
    <w:basedOn w:val="Normal"/>
    <w:uiPriority w:val="99"/>
    <w:semiHidden/>
    <w:unhideWhenUsed/>
    <w:rsid w:val="00753FA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53FA0"/>
    <w:rPr>
      <w:b/>
      <w:bCs/>
    </w:rPr>
  </w:style>
  <w:style w:type="character" w:styleId="Hyperlink">
    <w:name w:val="Hyperlink"/>
    <w:basedOn w:val="DefaultParagraphFont"/>
    <w:uiPriority w:val="99"/>
    <w:semiHidden/>
    <w:unhideWhenUsed/>
    <w:rsid w:val="00753F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iltrationgroup.com/en-US/contact-us/privacy-polic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ltrationgroup.com/en-US/about-u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55C4E-84D9-439C-B78B-CA1F43F3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3922</Words>
  <Characters>22358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Opmaak 1</vt:lpstr>
    </vt:vector>
  </TitlesOfParts>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Opmaak 1</dc:title>
  <dc:creator>Dtp</dc:creator>
  <cp:lastModifiedBy>Brunella Stefanelli</cp:lastModifiedBy>
  <cp:revision>7</cp:revision>
  <dcterms:created xsi:type="dcterms:W3CDTF">2025-05-29T15:37:00Z</dcterms:created>
  <dcterms:modified xsi:type="dcterms:W3CDTF">2026-04-02T13:53:00Z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QuarkXPress(R) 19.21</vt:lpwstr>
  </property>
  <property fmtid="{D5CDD505-2E9C-101B-9397-08002B2CF9AE}" pid="4" name="LastSaved">
    <vt:filetime>2025-03-07T00:00:00Z</vt:filetime>
  </property>
  <property fmtid="{D5CDD505-2E9C-101B-9397-08002B2CF9AE}" pid="5" name="Producer">
    <vt:lpwstr>QuarkXPress(R) 19.21</vt:lpwstr>
  </property>
  <property fmtid="{D5CDD505-2E9C-101B-9397-08002B2CF9AE}" pid="6" name="XPressPrivate">
    <vt:lpwstr>%%DocumentProcessColors: Cyan Magenta Yellow Black %%EndComments</vt:lpwstr>
  </property>
</Properties>
</file>